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4F1" w:rsidRDefault="002D34F1" w:rsidP="002D34F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WG1 Meeting #98</w:t>
      </w:r>
      <w:r>
        <w:rPr>
          <w:rFonts w:cs="Arial"/>
          <w:b/>
          <w:noProof/>
          <w:sz w:val="24"/>
          <w:szCs w:val="24"/>
        </w:rPr>
        <w:tab/>
      </w:r>
      <w:r w:rsidR="00D90DC8">
        <w:rPr>
          <w:rFonts w:cs="Arial"/>
          <w:b/>
          <w:bCs/>
          <w:color w:val="000000" w:themeColor="text1"/>
          <w:sz w:val="26"/>
          <w:szCs w:val="26"/>
        </w:rPr>
        <w:t>R1-1909001</w:t>
      </w:r>
    </w:p>
    <w:p w:rsidR="002D34F1" w:rsidRDefault="002D34F1" w:rsidP="002D34F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Republic, 26th</w:t>
      </w:r>
      <w:r w:rsidRPr="007C59A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August – 30th August, 2019</w:t>
      </w:r>
      <w:r>
        <w:rPr>
          <w:rFonts w:cs="Arial"/>
          <w:b/>
          <w:noProof/>
          <w:sz w:val="24"/>
          <w:szCs w:val="24"/>
        </w:rPr>
        <w:tab/>
      </w:r>
    </w:p>
    <w:p w:rsidR="002D34F1" w:rsidRPr="00155924" w:rsidRDefault="002D34F1" w:rsidP="002D34F1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2D34F1" w:rsidRPr="00474F96" w:rsidRDefault="002D34F1" w:rsidP="002D34F1">
      <w:pPr>
        <w:ind w:left="1988" w:hanging="1988"/>
        <w:jc w:val="both"/>
        <w:rPr>
          <w:rFonts w:ascii="Arial" w:hAnsi="Arial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 w:rsidR="009C38CF" w:rsidRPr="009C38CF">
        <w:rPr>
          <w:rFonts w:ascii="Arial" w:hAnsi="Arial"/>
        </w:rPr>
        <w:t>Channel Access - 10 MHz LBT Considerations</w:t>
      </w:r>
    </w:p>
    <w:p w:rsidR="002D34F1" w:rsidRDefault="002D34F1" w:rsidP="002D34F1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</w:p>
    <w:p w:rsidR="002D34F1" w:rsidRPr="00036934" w:rsidRDefault="002D34F1" w:rsidP="002D34F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7.2.2.2.1</w:t>
      </w:r>
    </w:p>
    <w:p w:rsidR="002D34F1" w:rsidRDefault="002D34F1" w:rsidP="002D34F1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 xml:space="preserve">Discussion/Decision </w:t>
      </w:r>
    </w:p>
    <w:p w:rsidR="00D50667" w:rsidRPr="00874684" w:rsidRDefault="00D50667" w:rsidP="00D50667">
      <w:pPr>
        <w:pStyle w:val="Heading1"/>
        <w:ind w:left="284" w:hanging="284"/>
      </w:pPr>
      <w:r>
        <w:t xml:space="preserve">    </w:t>
      </w:r>
      <w:r w:rsidRPr="00874684">
        <w:t xml:space="preserve">Introduction </w:t>
      </w:r>
    </w:p>
    <w:p w:rsidR="00D50667" w:rsidRDefault="00D50667" w:rsidP="00CD6A5E">
      <w:pPr>
        <w:tabs>
          <w:tab w:val="left" w:pos="1985"/>
        </w:tabs>
        <w:ind w:right="-441"/>
        <w:jc w:val="both"/>
        <w:rPr>
          <w:sz w:val="20"/>
          <w:szCs w:val="20"/>
        </w:rPr>
      </w:pPr>
      <w:r>
        <w:rPr>
          <w:sz w:val="20"/>
          <w:szCs w:val="20"/>
        </w:rPr>
        <w:t>In RAN #</w:t>
      </w:r>
      <w:proofErr w:type="gramStart"/>
      <w:r>
        <w:rPr>
          <w:sz w:val="20"/>
          <w:szCs w:val="20"/>
        </w:rPr>
        <w:t>84</w:t>
      </w:r>
      <w:proofErr w:type="gramEnd"/>
      <w:r>
        <w:rPr>
          <w:sz w:val="20"/>
          <w:szCs w:val="20"/>
        </w:rPr>
        <w:t xml:space="preserve"> it was agreed [1] that the following Physical Layer aspect should be captured in the NR-U specifications: </w:t>
      </w:r>
    </w:p>
    <w:p w:rsidR="00D50667" w:rsidRDefault="00D50667" w:rsidP="00CD6A5E">
      <w:pPr>
        <w:pStyle w:val="B2"/>
        <w:jc w:val="both"/>
        <w:rPr>
          <w:rFonts w:eastAsia="SimSun"/>
          <w:lang w:val="en-US"/>
        </w:rPr>
      </w:pPr>
      <w:r>
        <w:rPr>
          <w:lang w:eastAsia="ja-JP"/>
        </w:rPr>
        <w:t xml:space="preserve">10MHz operation for 5GHz band </w:t>
      </w:r>
      <w:r w:rsidRPr="00274961">
        <w:rPr>
          <w:rFonts w:eastAsia="SimSun"/>
          <w:lang w:val="en-US"/>
        </w:rPr>
        <w:t>via NR-U/NR-U CA or NR/NR-U CA without air-interface optimizations specific to 10MHz.</w:t>
      </w:r>
      <w:r>
        <w:rPr>
          <w:rFonts w:eastAsia="SimSun"/>
          <w:lang w:val="en-US"/>
        </w:rPr>
        <w:t xml:space="preserve"> </w:t>
      </w:r>
    </w:p>
    <w:p w:rsidR="00D50667" w:rsidRDefault="00D50667" w:rsidP="00CD6A5E">
      <w:pPr>
        <w:pStyle w:val="B2"/>
        <w:ind w:firstLine="589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NOTE: </w:t>
      </w:r>
    </w:p>
    <w:p w:rsidR="00D50667" w:rsidRDefault="00D50667" w:rsidP="00CD6A5E">
      <w:pPr>
        <w:pStyle w:val="B2"/>
        <w:ind w:firstLine="589"/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- 10MHz </w:t>
      </w:r>
      <w:proofErr w:type="spellStart"/>
      <w:r>
        <w:rPr>
          <w:rFonts w:eastAsia="SimSun"/>
          <w:lang w:val="en-US"/>
        </w:rPr>
        <w:t>Pcell</w:t>
      </w:r>
      <w:proofErr w:type="spellEnd"/>
      <w:r>
        <w:rPr>
          <w:rFonts w:eastAsia="SimSun"/>
          <w:lang w:val="en-US"/>
        </w:rPr>
        <w:t xml:space="preserve"> or </w:t>
      </w:r>
      <w:proofErr w:type="spellStart"/>
      <w:r>
        <w:rPr>
          <w:rFonts w:eastAsia="SimSun"/>
          <w:lang w:val="en-US"/>
        </w:rPr>
        <w:t>SpCell</w:t>
      </w:r>
      <w:proofErr w:type="spellEnd"/>
      <w:r>
        <w:rPr>
          <w:rFonts w:eastAsia="SimSun"/>
          <w:lang w:val="en-US"/>
        </w:rPr>
        <w:t xml:space="preserve"> </w:t>
      </w:r>
      <w:proofErr w:type="gramStart"/>
      <w:r>
        <w:rPr>
          <w:rFonts w:eastAsia="SimSun"/>
          <w:lang w:val="en-US"/>
        </w:rPr>
        <w:t>is not supported</w:t>
      </w:r>
      <w:proofErr w:type="gramEnd"/>
      <w:r>
        <w:rPr>
          <w:rFonts w:eastAsia="SimSun"/>
          <w:lang w:val="en-US"/>
        </w:rPr>
        <w:t xml:space="preserve"> in NR-U.</w:t>
      </w:r>
    </w:p>
    <w:p w:rsidR="00D50667" w:rsidRDefault="00D50667" w:rsidP="00CD6A5E">
      <w:pPr>
        <w:pStyle w:val="B2"/>
        <w:ind w:firstLine="589"/>
        <w:jc w:val="both"/>
        <w:rPr>
          <w:lang w:eastAsia="ja-JP"/>
        </w:rPr>
      </w:pPr>
      <w:r>
        <w:rPr>
          <w:rFonts w:eastAsia="SimSun"/>
          <w:lang w:val="en-US"/>
        </w:rPr>
        <w:t xml:space="preserve">- The absence of </w:t>
      </w:r>
      <w:proofErr w:type="spellStart"/>
      <w:r>
        <w:rPr>
          <w:rFonts w:eastAsia="SimSun"/>
          <w:lang w:val="en-US"/>
        </w:rPr>
        <w:t>WiFi</w:t>
      </w:r>
      <w:proofErr w:type="spellEnd"/>
      <w:r>
        <w:rPr>
          <w:rFonts w:eastAsia="SimSun"/>
          <w:lang w:val="en-US"/>
        </w:rPr>
        <w:t xml:space="preserve"> channels </w:t>
      </w:r>
      <w:proofErr w:type="gramStart"/>
      <w:r>
        <w:rPr>
          <w:rFonts w:eastAsia="SimSun"/>
          <w:lang w:val="en-US"/>
        </w:rPr>
        <w:t>should be guaranteed</w:t>
      </w:r>
      <w:proofErr w:type="gramEnd"/>
      <w:r>
        <w:rPr>
          <w:rFonts w:eastAsia="SimSun"/>
          <w:lang w:val="en-US"/>
        </w:rPr>
        <w:t xml:space="preserve">.  </w:t>
      </w:r>
    </w:p>
    <w:p w:rsidR="004306D2" w:rsidRDefault="00D50667" w:rsidP="00CD6A5E">
      <w:pPr>
        <w:tabs>
          <w:tab w:val="left" w:pos="1985"/>
        </w:tabs>
        <w:ind w:right="-44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purpose of this contribution paper is to discuss what implications this will have for Listen-Before-Talk (LBT) and propose that LBT should also be performed in units of 10 MHz where required (e.g. Band n46) for a NR-U </w:t>
      </w:r>
      <w:proofErr w:type="spellStart"/>
      <w:r>
        <w:rPr>
          <w:sz w:val="20"/>
          <w:szCs w:val="20"/>
        </w:rPr>
        <w:t>SCell</w:t>
      </w:r>
      <w:proofErr w:type="spellEnd"/>
      <w:r>
        <w:rPr>
          <w:sz w:val="20"/>
          <w:szCs w:val="20"/>
        </w:rPr>
        <w:t xml:space="preserve">. </w:t>
      </w:r>
      <w:r w:rsidR="009736BC">
        <w:rPr>
          <w:sz w:val="20"/>
          <w:szCs w:val="20"/>
        </w:rPr>
        <w:t>The paper also</w:t>
      </w:r>
      <w:r>
        <w:rPr>
          <w:sz w:val="20"/>
          <w:szCs w:val="20"/>
        </w:rPr>
        <w:t xml:space="preserve"> outline</w:t>
      </w:r>
      <w:r w:rsidR="009736BC">
        <w:rPr>
          <w:sz w:val="20"/>
          <w:szCs w:val="20"/>
        </w:rPr>
        <w:t>s</w:t>
      </w:r>
      <w:r>
        <w:rPr>
          <w:sz w:val="20"/>
          <w:szCs w:val="20"/>
        </w:rPr>
        <w:t xml:space="preserve"> what needs to </w:t>
      </w:r>
      <w:proofErr w:type="gramStart"/>
      <w:r>
        <w:rPr>
          <w:sz w:val="20"/>
          <w:szCs w:val="20"/>
        </w:rPr>
        <w:t>be considered</w:t>
      </w:r>
      <w:proofErr w:type="gramEnd"/>
      <w:r>
        <w:rPr>
          <w:sz w:val="20"/>
          <w:szCs w:val="20"/>
        </w:rPr>
        <w:t xml:space="preserve"> for LBT to be performed in 10 MHz units. </w:t>
      </w:r>
    </w:p>
    <w:p w:rsidR="004306D2" w:rsidRPr="0093681E" w:rsidRDefault="005677D3" w:rsidP="004306D2">
      <w:pPr>
        <w:pStyle w:val="Heading1"/>
        <w:ind w:left="709" w:hanging="709"/>
      </w:pPr>
      <w:r>
        <w:t>Capturing 10 MHz LBT Bandwidth</w:t>
      </w:r>
    </w:p>
    <w:p w:rsidR="00D50667" w:rsidRDefault="004306D2" w:rsidP="00CD6A5E">
      <w:pPr>
        <w:tabs>
          <w:tab w:val="left" w:pos="1985"/>
        </w:tabs>
        <w:ind w:right="-441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Currently, TR 38.889 states the following</w:t>
      </w:r>
      <w:r w:rsidR="00876B65">
        <w:rPr>
          <w:rFonts w:cstheme="minorHAnsi"/>
          <w:sz w:val="20"/>
          <w:szCs w:val="20"/>
        </w:rPr>
        <w:t xml:space="preserve"> [2]</w:t>
      </w:r>
      <w:r>
        <w:rPr>
          <w:rFonts w:cstheme="minorHAnsi"/>
          <w:sz w:val="20"/>
          <w:szCs w:val="20"/>
        </w:rPr>
        <w:t xml:space="preserve">: </w:t>
      </w:r>
    </w:p>
    <w:p w:rsidR="004306D2" w:rsidRPr="00E671F4" w:rsidRDefault="004306D2" w:rsidP="00CD6A5E">
      <w:pPr>
        <w:tabs>
          <w:tab w:val="left" w:pos="1985"/>
        </w:tabs>
        <w:ind w:right="-44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671F4">
        <w:rPr>
          <w:rFonts w:ascii="Times New Roman" w:hAnsi="Times New Roman" w:cs="Times New Roman"/>
          <w:color w:val="000000" w:themeColor="text1"/>
          <w:sz w:val="20"/>
          <w:szCs w:val="20"/>
        </w:rPr>
        <w:t>“If absence of Wi-Fi cannot be guaranteed (e.g. by regulation) in the band (sub-7 GHz) where NR-U is operating, the baseline assumption is, the NR-U operating bandwidth is an integer multiple of 20MHz.</w:t>
      </w:r>
    </w:p>
    <w:p w:rsidR="004306D2" w:rsidRPr="004306D2" w:rsidRDefault="004306D2" w:rsidP="00CD6A5E">
      <w:pPr>
        <w:tabs>
          <w:tab w:val="left" w:pos="1985"/>
        </w:tabs>
        <w:ind w:right="-441"/>
        <w:jc w:val="both"/>
        <w:rPr>
          <w:rFonts w:cstheme="minorHAnsi"/>
          <w:sz w:val="20"/>
          <w:szCs w:val="20"/>
        </w:rPr>
      </w:pPr>
      <w:r w:rsidRPr="00E671F4" w:rsidDel="00E80E7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For channel access mechanism, LTE-LAA LBT mechanism </w:t>
      </w:r>
      <w:proofErr w:type="gramStart"/>
      <w:r w:rsidRPr="00E671F4">
        <w:rPr>
          <w:rFonts w:ascii="Times New Roman" w:hAnsi="Times New Roman" w:cs="Times New Roman"/>
          <w:color w:val="000000" w:themeColor="text1"/>
          <w:sz w:val="20"/>
          <w:szCs w:val="20"/>
        </w:rPr>
        <w:t>is adopted as baseline</w:t>
      </w:r>
      <w:r w:rsidRPr="00E671F4" w:rsidDel="00E80E7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for 5GHz</w:t>
      </w:r>
      <w:r w:rsidRPr="00E671F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band and adopted as the starting point of the design for 6GHz band</w:t>
      </w:r>
      <w:proofErr w:type="gramEnd"/>
      <w:r w:rsidRPr="00E671F4" w:rsidDel="00E80E7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At least for band where absence of Wi-Fi cannot be guaranteed (e.g. by regulation), LBT can be performed in units of 20 </w:t>
      </w:r>
      <w:proofErr w:type="spellStart"/>
      <w:r w:rsidRPr="00E671F4" w:rsidDel="00E80E78">
        <w:rPr>
          <w:rFonts w:ascii="Times New Roman" w:hAnsi="Times New Roman" w:cs="Times New Roman"/>
          <w:color w:val="000000" w:themeColor="text1"/>
          <w:sz w:val="20"/>
          <w:szCs w:val="20"/>
        </w:rPr>
        <w:t>MHz.</w:t>
      </w:r>
      <w:proofErr w:type="spellEnd"/>
      <w:r w:rsidRPr="00E671F4">
        <w:rPr>
          <w:rFonts w:ascii="Times New Roman" w:hAnsi="Times New Roman" w:cs="Times New Roman"/>
          <w:color w:val="000000" w:themeColor="text1"/>
          <w:sz w:val="20"/>
          <w:szCs w:val="20"/>
        </w:rPr>
        <w:t>”</w:t>
      </w:r>
    </w:p>
    <w:p w:rsidR="00676DFB" w:rsidRDefault="004306D2" w:rsidP="00CD6A5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could be interpreted to mean that even for bands where the absence of Wi-Fi can be guaranteed, it is convenient to assume the NR-U operating bandwidth should also be an integer multiple of 20 </w:t>
      </w:r>
      <w:proofErr w:type="spellStart"/>
      <w:r>
        <w:rPr>
          <w:sz w:val="20"/>
          <w:szCs w:val="20"/>
        </w:rPr>
        <w:t>MHz.</w:t>
      </w:r>
      <w:proofErr w:type="spellEnd"/>
      <w:r w:rsidR="00676DFB">
        <w:rPr>
          <w:sz w:val="20"/>
          <w:szCs w:val="20"/>
        </w:rPr>
        <w:t xml:space="preserve"> In Band n46, NR-U/NR-U coexistence </w:t>
      </w:r>
      <w:proofErr w:type="gramStart"/>
      <w:r w:rsidR="00676DFB">
        <w:rPr>
          <w:sz w:val="20"/>
          <w:szCs w:val="20"/>
        </w:rPr>
        <w:t>must be guaranteed</w:t>
      </w:r>
      <w:proofErr w:type="gramEnd"/>
      <w:r w:rsidR="00676DFB">
        <w:rPr>
          <w:sz w:val="20"/>
          <w:szCs w:val="20"/>
        </w:rPr>
        <w:t>.</w:t>
      </w:r>
      <w:r>
        <w:rPr>
          <w:sz w:val="20"/>
          <w:szCs w:val="20"/>
        </w:rPr>
        <w:t xml:space="preserve"> To ensure that the channel access mechanism works in the newly defined 10 MHz channel</w:t>
      </w:r>
      <w:r w:rsidR="00676DFB">
        <w:rPr>
          <w:sz w:val="20"/>
          <w:szCs w:val="20"/>
        </w:rPr>
        <w:t xml:space="preserve"> with good coexistence</w:t>
      </w:r>
      <w:r>
        <w:rPr>
          <w:sz w:val="20"/>
          <w:szCs w:val="20"/>
        </w:rPr>
        <w:t xml:space="preserve"> for a NR-U </w:t>
      </w:r>
      <w:proofErr w:type="spellStart"/>
      <w:r>
        <w:rPr>
          <w:sz w:val="20"/>
          <w:szCs w:val="20"/>
        </w:rPr>
        <w:t>SCell</w:t>
      </w:r>
      <w:proofErr w:type="spellEnd"/>
      <w:r>
        <w:rPr>
          <w:sz w:val="20"/>
          <w:szCs w:val="20"/>
        </w:rPr>
        <w:t xml:space="preserve">, LBT </w:t>
      </w:r>
      <w:proofErr w:type="gramStart"/>
      <w:r>
        <w:rPr>
          <w:sz w:val="20"/>
          <w:szCs w:val="20"/>
        </w:rPr>
        <w:t xml:space="preserve">can also </w:t>
      </w:r>
      <w:r w:rsidR="00676DFB">
        <w:rPr>
          <w:sz w:val="20"/>
          <w:szCs w:val="20"/>
        </w:rPr>
        <w:t>be performed</w:t>
      </w:r>
      <w:proofErr w:type="gramEnd"/>
      <w:r w:rsidR="00676DFB">
        <w:rPr>
          <w:sz w:val="20"/>
          <w:szCs w:val="20"/>
        </w:rPr>
        <w:t xml:space="preserve"> in units of 10 MHz in Band n46. </w:t>
      </w:r>
    </w:p>
    <w:p w:rsidR="00C67AE2" w:rsidRDefault="00676DFB" w:rsidP="00CD6A5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proofErr w:type="gramStart"/>
      <w:r>
        <w:rPr>
          <w:sz w:val="20"/>
          <w:szCs w:val="20"/>
        </w:rPr>
        <w:t>was already captured</w:t>
      </w:r>
      <w:proofErr w:type="gramEnd"/>
      <w:r>
        <w:rPr>
          <w:sz w:val="20"/>
          <w:szCs w:val="20"/>
        </w:rPr>
        <w:t xml:space="preserve"> in TS 37.213,</w:t>
      </w:r>
      <w:r w:rsidR="00856B43">
        <w:rPr>
          <w:sz w:val="20"/>
          <w:szCs w:val="20"/>
        </w:rPr>
        <w:t xml:space="preserve"> Section 4.1.5 (for the Downlink) and Section 4.2.3 (for the Uplink)</w:t>
      </w:r>
      <w:r>
        <w:rPr>
          <w:sz w:val="20"/>
          <w:szCs w:val="20"/>
        </w:rPr>
        <w:t xml:space="preserve"> primarily for carrier bandwidths of 10, 15 and 20 MHz for LTE-LAA</w:t>
      </w:r>
      <w:r w:rsidR="00876B65">
        <w:rPr>
          <w:sz w:val="20"/>
          <w:szCs w:val="20"/>
        </w:rPr>
        <w:t xml:space="preserve"> [3]</w:t>
      </w:r>
      <w:r>
        <w:rPr>
          <w:sz w:val="20"/>
          <w:szCs w:val="20"/>
        </w:rPr>
        <w:t>.</w:t>
      </w:r>
      <w:r w:rsidR="00C67AE2">
        <w:rPr>
          <w:sz w:val="20"/>
          <w:szCs w:val="20"/>
        </w:rPr>
        <w:t xml:space="preserve"> The following equation captures the definition of the maximum Energy Detection (ED) threshold:</w:t>
      </w:r>
    </w:p>
    <w:p w:rsidR="00C67AE2" w:rsidRPr="001A7C01" w:rsidRDefault="00C67AE2" w:rsidP="00CD6A5E">
      <w:pPr>
        <w:jc w:val="both"/>
      </w:pPr>
    </w:p>
    <w:p w:rsidR="00C67AE2" w:rsidRPr="001A7C01" w:rsidRDefault="00C67AE2" w:rsidP="00CD6A5E">
      <w:pPr>
        <w:pStyle w:val="B1"/>
        <w:jc w:val="both"/>
        <w:rPr>
          <w:lang w:val="en-US"/>
        </w:rPr>
      </w:pPr>
      <w:r w:rsidRPr="001A7C01">
        <w:rPr>
          <w:lang w:val="en-US"/>
        </w:rPr>
        <w:t>-</w:t>
      </w:r>
      <w:r w:rsidRPr="001A7C01">
        <w:rPr>
          <w:lang w:val="en-US"/>
        </w:rPr>
        <w:tab/>
        <w:t xml:space="preserve">If the absence of any other technology sharing the carrier can be guaranteed on a </w:t>
      </w:r>
      <w:proofErr w:type="gramStart"/>
      <w:r w:rsidRPr="001A7C01">
        <w:rPr>
          <w:lang w:val="en-US"/>
        </w:rPr>
        <w:t>long term</w:t>
      </w:r>
      <w:proofErr w:type="gramEnd"/>
      <w:r w:rsidRPr="001A7C01">
        <w:rPr>
          <w:lang w:val="en-US"/>
        </w:rPr>
        <w:t xml:space="preserve"> basis (e.g. by level of regulation) then:</w:t>
      </w:r>
    </w:p>
    <w:p w:rsidR="00C67AE2" w:rsidRPr="001A7C01" w:rsidRDefault="00C67AE2" w:rsidP="00CD6A5E">
      <w:pPr>
        <w:pStyle w:val="B2"/>
        <w:jc w:val="both"/>
      </w:pPr>
      <w:r w:rsidRPr="001A7C01">
        <w:t>-</w:t>
      </w:r>
      <w:r w:rsidRPr="001A7C01">
        <w:tab/>
      </w:r>
      <w:r w:rsidRPr="001A7C01">
        <w:rPr>
          <w:position w:val="-32"/>
        </w:rPr>
        <w:object w:dxaOrig="30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5.5pt;height:38.5pt" o:ole="">
            <v:imagedata r:id="rId7" o:title=""/>
          </v:shape>
          <o:OLEObject Type="Embed" ProgID="Equation.3" ShapeID="_x0000_i1025" DrawAspect="Content" ObjectID="_1627388660" r:id="rId8"/>
        </w:object>
      </w:r>
    </w:p>
    <w:p w:rsidR="00C67AE2" w:rsidRPr="001A7C01" w:rsidRDefault="00C67AE2" w:rsidP="00CD6A5E">
      <w:pPr>
        <w:pStyle w:val="B3"/>
        <w:jc w:val="both"/>
      </w:pPr>
      <w:r w:rsidRPr="001A7C01">
        <w:rPr>
          <w:lang w:val="en-US"/>
        </w:rPr>
        <w:lastRenderedPageBreak/>
        <w:t>-</w:t>
      </w:r>
      <w:r w:rsidRPr="001A7C01">
        <w:rPr>
          <w:lang w:val="en-US"/>
        </w:rPr>
        <w:tab/>
      </w:r>
      <w:r w:rsidRPr="001A7C01">
        <w:rPr>
          <w:position w:val="-12"/>
          <w:lang w:val="en-US"/>
        </w:rPr>
        <w:object w:dxaOrig="340" w:dyaOrig="360">
          <v:shape id="_x0000_i1026" type="#_x0000_t75" style="width:17pt;height:18pt" o:ole="">
            <v:imagedata r:id="rId9" o:title=""/>
          </v:shape>
          <o:OLEObject Type="Embed" ProgID="Equation.DSMT4" ShapeID="_x0000_i1026" DrawAspect="Content" ObjectID="_1627388661" r:id="rId10"/>
        </w:object>
      </w:r>
      <w:r w:rsidRPr="001A7C01">
        <w:rPr>
          <w:lang w:val="en-US"/>
        </w:rPr>
        <w:t xml:space="preserve"> is Maximum energy detection threshold defined by regulatory requirements in </w:t>
      </w:r>
      <w:proofErr w:type="spellStart"/>
      <w:r w:rsidRPr="001A7C01">
        <w:rPr>
          <w:lang w:val="en-US"/>
        </w:rPr>
        <w:t>dBm</w:t>
      </w:r>
      <w:proofErr w:type="spellEnd"/>
      <w:r w:rsidRPr="001A7C01">
        <w:rPr>
          <w:lang w:val="en-US"/>
        </w:rPr>
        <w:t xml:space="preserve"> when such requirements are defined, otherwise </w:t>
      </w:r>
      <w:r w:rsidRPr="001A7C01">
        <w:rPr>
          <w:position w:val="-12"/>
        </w:rPr>
        <w:object w:dxaOrig="1719" w:dyaOrig="360">
          <v:shape id="_x0000_i1027" type="#_x0000_t75" style="width:87pt;height:18pt" o:ole="">
            <v:imagedata r:id="rId11" o:title=""/>
          </v:shape>
          <o:OLEObject Type="Embed" ProgID="Equation.3" ShapeID="_x0000_i1027" DrawAspect="Content" ObjectID="_1627388662" r:id="rId12"/>
        </w:object>
      </w:r>
    </w:p>
    <w:p w:rsidR="00C67AE2" w:rsidRPr="001A7C01" w:rsidRDefault="00C67AE2" w:rsidP="00CD6A5E">
      <w:pPr>
        <w:pStyle w:val="B1"/>
        <w:jc w:val="both"/>
        <w:rPr>
          <w:lang w:val="en-US"/>
        </w:rPr>
      </w:pPr>
      <w:r w:rsidRPr="001A7C01">
        <w:rPr>
          <w:lang w:val="en-US"/>
        </w:rPr>
        <w:t>-</w:t>
      </w:r>
      <w:r w:rsidRPr="001A7C01">
        <w:rPr>
          <w:lang w:val="en-US"/>
        </w:rPr>
        <w:tab/>
        <w:t>Otherwise,</w:t>
      </w:r>
    </w:p>
    <w:p w:rsidR="00C67AE2" w:rsidRPr="001A7C01" w:rsidRDefault="00C67AE2" w:rsidP="00CD6A5E">
      <w:pPr>
        <w:pStyle w:val="B2"/>
        <w:jc w:val="both"/>
      </w:pPr>
      <w:r w:rsidRPr="001A7C01">
        <w:t>-</w:t>
      </w:r>
      <w:r w:rsidRPr="001A7C01">
        <w:tab/>
      </w:r>
      <w:r w:rsidRPr="001A7C01">
        <w:rPr>
          <w:position w:val="-52"/>
        </w:rPr>
        <w:object w:dxaOrig="7460" w:dyaOrig="1160">
          <v:shape id="_x0000_i1028" type="#_x0000_t75" style="width:373pt;height:58pt" o:ole="">
            <v:imagedata r:id="rId13" o:title=""/>
          </v:shape>
          <o:OLEObject Type="Embed" ProgID="Equation.3" ShapeID="_x0000_i1028" DrawAspect="Content" ObjectID="_1627388663" r:id="rId14"/>
        </w:object>
      </w:r>
    </w:p>
    <w:p w:rsidR="00C67AE2" w:rsidRPr="001A7C01" w:rsidRDefault="00C67AE2" w:rsidP="00CD6A5E">
      <w:pPr>
        <w:pStyle w:val="B1"/>
        <w:jc w:val="both"/>
        <w:rPr>
          <w:lang w:val="en-US"/>
        </w:rPr>
      </w:pPr>
      <w:r w:rsidRPr="001A7C01">
        <w:rPr>
          <w:lang w:val="en-US"/>
        </w:rPr>
        <w:t>-</w:t>
      </w:r>
      <w:r w:rsidRPr="001A7C01">
        <w:rPr>
          <w:lang w:val="en-US"/>
        </w:rPr>
        <w:tab/>
        <w:t>Where:</w:t>
      </w:r>
    </w:p>
    <w:p w:rsidR="00C67AE2" w:rsidRPr="001A7C01" w:rsidRDefault="00C67AE2" w:rsidP="00CD6A5E">
      <w:pPr>
        <w:pStyle w:val="B2"/>
        <w:jc w:val="both"/>
      </w:pPr>
      <w:r w:rsidRPr="001A7C01">
        <w:t>-</w:t>
      </w:r>
      <w:r w:rsidRPr="001A7C01">
        <w:tab/>
      </w:r>
      <w:r w:rsidRPr="001A7C01">
        <w:rPr>
          <w:position w:val="-12"/>
        </w:rPr>
        <w:object w:dxaOrig="279" w:dyaOrig="360">
          <v:shape id="_x0000_i1029" type="#_x0000_t75" style="width:14pt;height:18pt" o:ole="">
            <v:imagedata r:id="rId15" o:title=""/>
          </v:shape>
          <o:OLEObject Type="Embed" ProgID="Equation.DSMT4" ShapeID="_x0000_i1029" DrawAspect="Content" ObjectID="_1627388664" r:id="rId16"/>
        </w:object>
      </w:r>
      <w:r w:rsidRPr="001A7C01">
        <w:t>= 10dB for transmission(s) including PDSCH;</w:t>
      </w:r>
    </w:p>
    <w:p w:rsidR="00C67AE2" w:rsidRPr="001A7C01" w:rsidRDefault="00C67AE2" w:rsidP="00CD6A5E">
      <w:pPr>
        <w:pStyle w:val="B2"/>
        <w:jc w:val="both"/>
      </w:pPr>
      <w:r w:rsidRPr="001A7C01">
        <w:t>-</w:t>
      </w:r>
      <w:r w:rsidRPr="001A7C01">
        <w:tab/>
      </w:r>
      <w:r w:rsidRPr="001A7C01">
        <w:rPr>
          <w:position w:val="-12"/>
        </w:rPr>
        <w:object w:dxaOrig="279" w:dyaOrig="360">
          <v:shape id="_x0000_i1030" type="#_x0000_t75" style="width:14pt;height:18pt" o:ole="">
            <v:imagedata r:id="rId15" o:title=""/>
          </v:shape>
          <o:OLEObject Type="Embed" ProgID="Equation.DSMT4" ShapeID="_x0000_i1030" DrawAspect="Content" ObjectID="_1627388665" r:id="rId17"/>
        </w:object>
      </w:r>
      <w:r w:rsidRPr="001A7C01">
        <w:t>= 5dB for transmissions including discovery signal transmission(s) and not including PDSCH;</w:t>
      </w:r>
    </w:p>
    <w:p w:rsidR="00C67AE2" w:rsidRPr="001A7C01" w:rsidRDefault="00C67AE2" w:rsidP="00CD6A5E">
      <w:pPr>
        <w:pStyle w:val="B2"/>
        <w:jc w:val="both"/>
      </w:pPr>
      <w:r w:rsidRPr="001A7C01">
        <w:t>-</w:t>
      </w:r>
      <w:r w:rsidRPr="001A7C01">
        <w:tab/>
      </w:r>
      <w:r w:rsidRPr="001A7C01">
        <w:rPr>
          <w:position w:val="-12"/>
        </w:rPr>
        <w:object w:dxaOrig="320" w:dyaOrig="360">
          <v:shape id="_x0000_i1031" type="#_x0000_t75" style="width:16pt;height:18pt" o:ole="">
            <v:imagedata r:id="rId18" o:title=""/>
          </v:shape>
          <o:OLEObject Type="Embed" ProgID="Equation.DSMT4" ShapeID="_x0000_i1031" DrawAspect="Content" ObjectID="_1627388666" r:id="rId19"/>
        </w:object>
      </w:r>
      <w:r w:rsidRPr="001A7C01">
        <w:t xml:space="preserve"> = 23 </w:t>
      </w:r>
      <w:proofErr w:type="spellStart"/>
      <w:r w:rsidRPr="001A7C01">
        <w:t>dBm</w:t>
      </w:r>
      <w:proofErr w:type="spellEnd"/>
      <w:r w:rsidRPr="001A7C01">
        <w:t>;</w:t>
      </w:r>
    </w:p>
    <w:p w:rsidR="00C67AE2" w:rsidRPr="001A7C01" w:rsidRDefault="00C67AE2" w:rsidP="00CD6A5E">
      <w:pPr>
        <w:pStyle w:val="B2"/>
        <w:jc w:val="both"/>
        <w:rPr>
          <w:rFonts w:eastAsia="MS Mincho"/>
          <w:lang w:val="en-US" w:eastAsia="ja-JP"/>
        </w:rPr>
      </w:pPr>
      <w:r w:rsidRPr="001A7C01">
        <w:t>-</w:t>
      </w:r>
      <w:r w:rsidRPr="001A7C01">
        <w:tab/>
      </w:r>
      <w:r w:rsidRPr="001A7C01">
        <w:rPr>
          <w:position w:val="-12"/>
        </w:rPr>
        <w:object w:dxaOrig="380" w:dyaOrig="360">
          <v:shape id="_x0000_i1032" type="#_x0000_t75" style="width:19pt;height:18pt" o:ole="">
            <v:imagedata r:id="rId20" o:title=""/>
          </v:shape>
          <o:OLEObject Type="Embed" ProgID="Equation.DSMT4" ShapeID="_x0000_i1032" DrawAspect="Content" ObjectID="_1627388667" r:id="rId21"/>
        </w:object>
      </w:r>
      <w:r w:rsidRPr="001A7C01">
        <w:t xml:space="preserve"> </w:t>
      </w:r>
      <w:r w:rsidRPr="001A7C01">
        <w:rPr>
          <w:lang w:val="en-US"/>
        </w:rPr>
        <w:t xml:space="preserve">is </w:t>
      </w:r>
      <w:r w:rsidRPr="001A7C01">
        <w:rPr>
          <w:rFonts w:eastAsia="MS Mincho" w:hint="eastAsia"/>
          <w:lang w:val="en-US" w:eastAsia="ja-JP"/>
        </w:rPr>
        <w:t>the</w:t>
      </w:r>
      <w:r w:rsidRPr="001A7C01">
        <w:rPr>
          <w:rFonts w:eastAsia="MS Mincho"/>
          <w:lang w:val="en-US" w:eastAsia="ja-JP"/>
        </w:rPr>
        <w:t xml:space="preserve"> set maximum </w:t>
      </w:r>
      <w:proofErr w:type="spellStart"/>
      <w:r w:rsidRPr="001A7C01">
        <w:rPr>
          <w:rFonts w:eastAsia="MS Mincho"/>
          <w:lang w:val="en-US" w:eastAsia="ja-JP"/>
        </w:rPr>
        <w:t>eNB</w:t>
      </w:r>
      <w:proofErr w:type="spellEnd"/>
      <w:r w:rsidRPr="001A7C01">
        <w:rPr>
          <w:rFonts w:eastAsia="MS Mincho"/>
          <w:lang w:val="en-US" w:eastAsia="ja-JP"/>
        </w:rPr>
        <w:t xml:space="preserve"> output power in </w:t>
      </w:r>
      <w:proofErr w:type="spellStart"/>
      <w:r w:rsidRPr="001A7C01">
        <w:rPr>
          <w:rFonts w:eastAsia="MS Mincho"/>
          <w:lang w:val="en-US" w:eastAsia="ja-JP"/>
        </w:rPr>
        <w:t>dBm</w:t>
      </w:r>
      <w:proofErr w:type="spellEnd"/>
      <w:r w:rsidRPr="001A7C01">
        <w:rPr>
          <w:rFonts w:eastAsia="MS Mincho"/>
          <w:lang w:val="en-US" w:eastAsia="ja-JP"/>
        </w:rPr>
        <w:t xml:space="preserve"> for the carrier</w:t>
      </w:r>
      <w:proofErr w:type="gramStart"/>
      <w:r w:rsidRPr="001A7C01">
        <w:rPr>
          <w:rFonts w:eastAsia="MS Mincho"/>
          <w:lang w:val="en-US" w:eastAsia="ja-JP"/>
        </w:rPr>
        <w:t>;</w:t>
      </w:r>
      <w:proofErr w:type="gramEnd"/>
    </w:p>
    <w:p w:rsidR="00C67AE2" w:rsidRPr="001A7C01" w:rsidRDefault="00C67AE2" w:rsidP="00CD6A5E">
      <w:pPr>
        <w:pStyle w:val="B3"/>
        <w:jc w:val="both"/>
        <w:rPr>
          <w:rFonts w:eastAsia="MS Mincho"/>
          <w:lang w:val="en-US" w:eastAsia="ja-JP"/>
        </w:rPr>
      </w:pPr>
      <w:r w:rsidRPr="001A7C01">
        <w:t>-</w:t>
      </w:r>
      <w:r w:rsidRPr="001A7C01">
        <w:tab/>
      </w:r>
      <w:proofErr w:type="spellStart"/>
      <w:r w:rsidRPr="001A7C01">
        <w:t>eNB</w:t>
      </w:r>
      <w:proofErr w:type="spellEnd"/>
      <w:r w:rsidRPr="001A7C01">
        <w:t xml:space="preserve"> uses the </w:t>
      </w:r>
      <w:r w:rsidRPr="001A7C01">
        <w:rPr>
          <w:rFonts w:eastAsia="MS Mincho"/>
          <w:lang w:eastAsia="ja-JP"/>
        </w:rPr>
        <w:t>set</w:t>
      </w:r>
      <w:r w:rsidRPr="001A7C01">
        <w:rPr>
          <w:rFonts w:eastAsia="MS Mincho" w:hint="eastAsia"/>
          <w:lang w:eastAsia="ja-JP"/>
        </w:rPr>
        <w:t xml:space="preserve"> </w:t>
      </w:r>
      <w:r w:rsidRPr="001A7C01">
        <w:t>maximum transmission power over a single carrier irrespective of whether single carrier or multi-carrier transmission is employed</w:t>
      </w:r>
    </w:p>
    <w:p w:rsidR="00C67AE2" w:rsidRPr="001A7C01" w:rsidRDefault="00C67AE2" w:rsidP="00CD6A5E">
      <w:pPr>
        <w:pStyle w:val="B2"/>
        <w:jc w:val="both"/>
      </w:pPr>
      <w:r w:rsidRPr="001A7C01">
        <w:t>-</w:t>
      </w:r>
      <w:r w:rsidRPr="001A7C01">
        <w:tab/>
      </w:r>
      <w:r w:rsidRPr="001A7C01">
        <w:rPr>
          <w:position w:val="-16"/>
        </w:rPr>
        <w:object w:dxaOrig="6780" w:dyaOrig="440">
          <v:shape id="_x0000_i1033" type="#_x0000_t75" style="width:342.5pt;height:22pt" o:ole="">
            <v:imagedata r:id="rId22" o:title=""/>
          </v:shape>
          <o:OLEObject Type="Embed" ProgID="Equation.3" ShapeID="_x0000_i1033" DrawAspect="Content" ObjectID="_1627388668" r:id="rId23"/>
        </w:object>
      </w:r>
      <w:r w:rsidRPr="001A7C01">
        <w:t>;</w:t>
      </w:r>
    </w:p>
    <w:p w:rsidR="00C67AE2" w:rsidRPr="00C67AE2" w:rsidRDefault="00C67AE2" w:rsidP="00CD6A5E">
      <w:pPr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1A7C01">
        <w:rPr>
          <w:lang w:val="en-US"/>
        </w:rPr>
        <w:t>-</w:t>
      </w:r>
      <w:r w:rsidRPr="001A7C01">
        <w:rPr>
          <w:lang w:val="en-US"/>
        </w:rPr>
        <w:tab/>
      </w:r>
      <w:proofErr w:type="spellStart"/>
      <w:r w:rsidRPr="00C67AE2">
        <w:rPr>
          <w:rFonts w:ascii="Times New Roman" w:hAnsi="Times New Roman" w:cs="Times New Roman"/>
          <w:sz w:val="20"/>
          <w:szCs w:val="20"/>
          <w:lang w:val="en-US"/>
        </w:rPr>
        <w:t>BWMHz</w:t>
      </w:r>
      <w:proofErr w:type="spellEnd"/>
      <w:r w:rsidRPr="00C67AE2">
        <w:rPr>
          <w:rFonts w:ascii="Times New Roman" w:hAnsi="Times New Roman" w:cs="Times New Roman"/>
          <w:sz w:val="20"/>
          <w:szCs w:val="20"/>
        </w:rPr>
        <w:t xml:space="preserve"> is the single </w:t>
      </w:r>
      <w:r w:rsidRPr="00C67AE2">
        <w:rPr>
          <w:rFonts w:ascii="Times New Roman" w:hAnsi="Times New Roman" w:cs="Times New Roman"/>
          <w:sz w:val="20"/>
          <w:szCs w:val="20"/>
          <w:lang w:eastAsia="x-none"/>
        </w:rPr>
        <w:t>carrier</w:t>
      </w:r>
      <w:r w:rsidRPr="00C67AE2">
        <w:rPr>
          <w:rFonts w:ascii="Times New Roman" w:hAnsi="Times New Roman" w:cs="Times New Roman"/>
          <w:sz w:val="20"/>
          <w:szCs w:val="20"/>
        </w:rPr>
        <w:t xml:space="preserve"> bandwidth in </w:t>
      </w:r>
      <w:proofErr w:type="spellStart"/>
      <w:r w:rsidRPr="00C67AE2">
        <w:rPr>
          <w:rFonts w:ascii="Times New Roman" w:hAnsi="Times New Roman" w:cs="Times New Roman"/>
          <w:sz w:val="20"/>
          <w:szCs w:val="20"/>
        </w:rPr>
        <w:t>MHz.</w:t>
      </w:r>
      <w:proofErr w:type="spellEnd"/>
    </w:p>
    <w:p w:rsidR="00661148" w:rsidRDefault="00C67AE2" w:rsidP="00CD6A5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proofErr w:type="gramStart"/>
      <w:r>
        <w:rPr>
          <w:sz w:val="20"/>
          <w:szCs w:val="20"/>
        </w:rPr>
        <w:t>could also be used</w:t>
      </w:r>
      <w:proofErr w:type="gramEnd"/>
      <w:r w:rsidR="00676DFB">
        <w:rPr>
          <w:sz w:val="20"/>
          <w:szCs w:val="20"/>
        </w:rPr>
        <w:t xml:space="preserve"> for NR-U si</w:t>
      </w:r>
      <w:r>
        <w:rPr>
          <w:sz w:val="20"/>
          <w:szCs w:val="20"/>
        </w:rPr>
        <w:t>nce the maximum ED</w:t>
      </w:r>
      <w:r w:rsidR="00676DFB">
        <w:rPr>
          <w:sz w:val="20"/>
          <w:szCs w:val="20"/>
        </w:rPr>
        <w:t xml:space="preserve"> threshold is scalable as a function of the carrier bandwidth, with the assumption that the LBT Bandwidth is the same as the carrier bandwidt</w:t>
      </w:r>
      <w:r w:rsidR="001A53FA">
        <w:rPr>
          <w:sz w:val="20"/>
          <w:szCs w:val="20"/>
        </w:rPr>
        <w:t>h. There will be minimal</w:t>
      </w:r>
      <w:r w:rsidR="00676DFB">
        <w:rPr>
          <w:sz w:val="20"/>
          <w:szCs w:val="20"/>
        </w:rPr>
        <w:t xml:space="preserve"> specification impact in RAN1 to achieve this outcome since the maximum ED threshold scalability already allows LBT to </w:t>
      </w:r>
      <w:proofErr w:type="gramStart"/>
      <w:r w:rsidR="00676DFB">
        <w:rPr>
          <w:sz w:val="20"/>
          <w:szCs w:val="20"/>
        </w:rPr>
        <w:t>be performed</w:t>
      </w:r>
      <w:proofErr w:type="gramEnd"/>
      <w:r w:rsidR="00676DFB">
        <w:rPr>
          <w:sz w:val="20"/>
          <w:szCs w:val="20"/>
        </w:rPr>
        <w:t xml:space="preserve"> in units of 10 MHz </w:t>
      </w:r>
      <w:r w:rsidR="00216B2D">
        <w:rPr>
          <w:sz w:val="20"/>
          <w:szCs w:val="20"/>
        </w:rPr>
        <w:t xml:space="preserve">in a </w:t>
      </w:r>
      <w:r w:rsidR="00676DFB">
        <w:rPr>
          <w:sz w:val="20"/>
          <w:szCs w:val="20"/>
        </w:rPr>
        <w:t>LTE-LAA carrier where required</w:t>
      </w:r>
      <w:r w:rsidR="00794730">
        <w:rPr>
          <w:sz w:val="20"/>
          <w:szCs w:val="20"/>
        </w:rPr>
        <w:t xml:space="preserve"> and NR Rel-15 already allows 10 MHz carriers</w:t>
      </w:r>
      <w:r w:rsidR="00676DFB">
        <w:rPr>
          <w:sz w:val="20"/>
          <w:szCs w:val="20"/>
        </w:rPr>
        <w:t>.</w:t>
      </w:r>
    </w:p>
    <w:p w:rsidR="00676DFB" w:rsidRDefault="00661148" w:rsidP="00CD6A5E">
      <w:pPr>
        <w:jc w:val="both"/>
        <w:rPr>
          <w:sz w:val="20"/>
          <w:szCs w:val="20"/>
        </w:rPr>
      </w:pPr>
      <w:r>
        <w:rPr>
          <w:sz w:val="20"/>
          <w:szCs w:val="20"/>
        </w:rPr>
        <w:t>The expected usage of the 10 MHz bandw</w:t>
      </w:r>
      <w:r w:rsidR="001A6D47">
        <w:rPr>
          <w:sz w:val="20"/>
          <w:szCs w:val="20"/>
        </w:rPr>
        <w:t>idth is not anticipated to occur</w:t>
      </w:r>
      <w:r w:rsidR="00EB013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 a carrier where there are other UEs operating </w:t>
      </w:r>
      <w:r w:rsidR="00922DE8">
        <w:rPr>
          <w:sz w:val="20"/>
          <w:szCs w:val="20"/>
        </w:rPr>
        <w:t>on a</w:t>
      </w:r>
      <w:r>
        <w:rPr>
          <w:sz w:val="20"/>
          <w:szCs w:val="20"/>
        </w:rPr>
        <w:t xml:space="preserve"> 20 MHz</w:t>
      </w:r>
      <w:r w:rsidR="00922DE8">
        <w:rPr>
          <w:sz w:val="20"/>
          <w:szCs w:val="20"/>
        </w:rPr>
        <w:t xml:space="preserve"> bandwidth</w:t>
      </w:r>
      <w:r>
        <w:rPr>
          <w:sz w:val="20"/>
          <w:szCs w:val="20"/>
        </w:rPr>
        <w:t xml:space="preserve">. In this scenario, it would be plausible for the UE to perform LBT over 10 MHz units. </w:t>
      </w:r>
      <w:r w:rsidR="00856B43">
        <w:rPr>
          <w:sz w:val="20"/>
          <w:szCs w:val="20"/>
        </w:rPr>
        <w:t xml:space="preserve"> </w:t>
      </w:r>
    </w:p>
    <w:p w:rsidR="00856B43" w:rsidRDefault="00706FFA" w:rsidP="00CD6A5E">
      <w:pPr>
        <w:jc w:val="both"/>
        <w:rPr>
          <w:b/>
          <w:sz w:val="20"/>
          <w:szCs w:val="20"/>
        </w:rPr>
      </w:pPr>
      <w:r w:rsidRPr="0009322A">
        <w:rPr>
          <w:b/>
          <w:i/>
          <w:sz w:val="20"/>
          <w:szCs w:val="20"/>
          <w:u w:val="single"/>
        </w:rPr>
        <w:t>Proposal 1:</w:t>
      </w:r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>Capture the above equation in the NR-U specifications to ensure that a LBT band</w:t>
      </w:r>
      <w:r w:rsidR="001E7001">
        <w:rPr>
          <w:b/>
          <w:sz w:val="20"/>
          <w:szCs w:val="20"/>
        </w:rPr>
        <w:t xml:space="preserve">width of 10 MHz </w:t>
      </w:r>
      <w:bookmarkStart w:id="0" w:name="_GoBack"/>
      <w:bookmarkEnd w:id="0"/>
      <w:r w:rsidR="001E7001">
        <w:rPr>
          <w:b/>
          <w:sz w:val="20"/>
          <w:szCs w:val="20"/>
        </w:rPr>
        <w:t>is feasible</w:t>
      </w:r>
      <w:r>
        <w:rPr>
          <w:b/>
          <w:sz w:val="20"/>
          <w:szCs w:val="20"/>
        </w:rPr>
        <w:t xml:space="preserve"> for Band n46. </w:t>
      </w:r>
      <w:r w:rsidR="00C67AE2">
        <w:rPr>
          <w:b/>
          <w:sz w:val="20"/>
          <w:szCs w:val="20"/>
        </w:rPr>
        <w:t xml:space="preserve"> </w:t>
      </w:r>
    </w:p>
    <w:p w:rsidR="0009322A" w:rsidRDefault="0009322A" w:rsidP="0009322A">
      <w:pPr>
        <w:pStyle w:val="Heading1"/>
        <w:ind w:left="0" w:firstLine="0"/>
        <w:rPr>
          <w:sz w:val="36"/>
          <w:szCs w:val="36"/>
        </w:rPr>
      </w:pPr>
      <w:r w:rsidRPr="00874684">
        <w:t>Conclusion</w:t>
      </w:r>
      <w:r w:rsidRPr="00DA62C0">
        <w:rPr>
          <w:sz w:val="36"/>
          <w:szCs w:val="36"/>
        </w:rPr>
        <w:t xml:space="preserve"> </w:t>
      </w:r>
    </w:p>
    <w:p w:rsidR="0009322A" w:rsidRDefault="0009322A" w:rsidP="0009322A">
      <w:pPr>
        <w:rPr>
          <w:sz w:val="20"/>
          <w:szCs w:val="20"/>
        </w:rPr>
      </w:pPr>
      <w:r>
        <w:rPr>
          <w:sz w:val="20"/>
          <w:szCs w:val="20"/>
        </w:rPr>
        <w:t xml:space="preserve">In summary, the key proposal </w:t>
      </w:r>
      <w:proofErr w:type="gramStart"/>
      <w:r>
        <w:rPr>
          <w:sz w:val="20"/>
          <w:szCs w:val="20"/>
        </w:rPr>
        <w:t>is listed</w:t>
      </w:r>
      <w:proofErr w:type="gramEnd"/>
      <w:r>
        <w:rPr>
          <w:sz w:val="20"/>
          <w:szCs w:val="20"/>
        </w:rPr>
        <w:t xml:space="preserve"> below:</w:t>
      </w:r>
    </w:p>
    <w:p w:rsidR="0009322A" w:rsidRPr="0082157D" w:rsidRDefault="00F87A96" w:rsidP="0009322A">
      <w:pPr>
        <w:rPr>
          <w:sz w:val="20"/>
          <w:szCs w:val="20"/>
        </w:rPr>
      </w:pPr>
      <w:r w:rsidRPr="0009322A">
        <w:rPr>
          <w:b/>
          <w:i/>
          <w:sz w:val="20"/>
          <w:szCs w:val="20"/>
          <w:u w:val="single"/>
        </w:rPr>
        <w:t>Proposal 1:</w:t>
      </w:r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Capture the above equation in the NR-U specifications to ensure that a LBT bandwidth of 10 MHz is feasible for Band n46.  </w:t>
      </w:r>
    </w:p>
    <w:p w:rsidR="0009322A" w:rsidRPr="00F12010" w:rsidRDefault="0009322A" w:rsidP="0009322A">
      <w:pPr>
        <w:pStyle w:val="Heading1"/>
        <w:ind w:left="0" w:firstLine="0"/>
        <w:rPr>
          <w:sz w:val="36"/>
          <w:szCs w:val="36"/>
        </w:rPr>
      </w:pPr>
      <w:r w:rsidRPr="00874684">
        <w:t>References</w:t>
      </w:r>
      <w:r w:rsidRPr="00F12010">
        <w:rPr>
          <w:sz w:val="36"/>
          <w:szCs w:val="36"/>
        </w:rPr>
        <w:t xml:space="preserve"> </w:t>
      </w:r>
    </w:p>
    <w:p w:rsidR="00C23599" w:rsidRDefault="00876B65" w:rsidP="00C23599">
      <w:pPr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[1] RAN #84 Meeting Chairman’s Notes – RP-191575 </w:t>
      </w:r>
      <w:r w:rsidRPr="00876B65">
        <w:rPr>
          <w:rFonts w:cstheme="minorHAnsi"/>
          <w:b/>
          <w:szCs w:val="20"/>
        </w:rPr>
        <w:t>“Revised NR-U WID”</w:t>
      </w:r>
      <w:r w:rsidR="0009322A">
        <w:rPr>
          <w:rFonts w:cstheme="minorHAnsi"/>
          <w:szCs w:val="20"/>
        </w:rPr>
        <w:t xml:space="preserve"> </w:t>
      </w:r>
    </w:p>
    <w:p w:rsidR="00876B65" w:rsidRDefault="00876B65" w:rsidP="00C23599">
      <w:pPr>
        <w:rPr>
          <w:rFonts w:cstheme="minorHAnsi"/>
          <w:b/>
          <w:szCs w:val="20"/>
        </w:rPr>
      </w:pPr>
      <w:r>
        <w:rPr>
          <w:rFonts w:cstheme="minorHAnsi"/>
          <w:szCs w:val="20"/>
        </w:rPr>
        <w:t xml:space="preserve">[2] 3GPP TR 38.889, </w:t>
      </w:r>
      <w:r w:rsidRPr="00876B65">
        <w:rPr>
          <w:rFonts w:cstheme="minorHAnsi"/>
          <w:b/>
          <w:szCs w:val="20"/>
        </w:rPr>
        <w:t xml:space="preserve">“Study on NR-based Access to Unlicensed Spectrum (Release 16)” </w:t>
      </w:r>
    </w:p>
    <w:p w:rsidR="00876B65" w:rsidRPr="00876B65" w:rsidRDefault="00876B65" w:rsidP="00C23599">
      <w:r>
        <w:t xml:space="preserve">[3] 3GPP TS 37.213, </w:t>
      </w:r>
      <w:r w:rsidRPr="00876B65">
        <w:rPr>
          <w:b/>
        </w:rPr>
        <w:t>“Physical Layer Procedures for Shared Spectrum Channel Access”</w:t>
      </w:r>
    </w:p>
    <w:sectPr w:rsidR="00876B65" w:rsidRPr="00876B65">
      <w:footerReference w:type="default" r:id="rId2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043" w:rsidRDefault="00D54043" w:rsidP="002D34F1">
      <w:pPr>
        <w:spacing w:after="0" w:line="240" w:lineRule="auto"/>
      </w:pPr>
      <w:r>
        <w:separator/>
      </w:r>
    </w:p>
  </w:endnote>
  <w:endnote w:type="continuationSeparator" w:id="0">
    <w:p w:rsidR="00D54043" w:rsidRDefault="00D54043" w:rsidP="002D3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4F1" w:rsidRDefault="002D34F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c94eb0964a85035a5474d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2D34F1" w:rsidRPr="002D34F1" w:rsidRDefault="002D34F1" w:rsidP="002D34F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2D34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8c94eb0964a85035a5474d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" o:allowincell="f" filled="f" stroked="f" strokeweight=".5pt">
              <v:fill o:detectmouseclick="t"/>
              <v:textbox inset="20pt,0,,0">
                <w:txbxContent>
                  <w:p w:rsidR="002D34F1" w:rsidRPr="002D34F1" w:rsidRDefault="002D34F1" w:rsidP="002D34F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2D34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043" w:rsidRDefault="00D54043" w:rsidP="002D34F1">
      <w:pPr>
        <w:spacing w:after="0" w:line="240" w:lineRule="auto"/>
      </w:pPr>
      <w:r>
        <w:separator/>
      </w:r>
    </w:p>
  </w:footnote>
  <w:footnote w:type="continuationSeparator" w:id="0">
    <w:p w:rsidR="00D54043" w:rsidRDefault="00D54043" w:rsidP="002D3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8D017E0"/>
    <w:multiLevelType w:val="multilevel"/>
    <w:tmpl w:val="8A764354"/>
    <w:lvl w:ilvl="0">
      <w:start w:val="1"/>
      <w:numFmt w:val="decimal"/>
      <w:pStyle w:val="Heading1"/>
      <w:lvlText w:val="%1."/>
      <w:lvlJc w:val="left"/>
      <w:pPr>
        <w:ind w:left="717" w:hanging="360"/>
      </w:pPr>
      <w:rPr>
        <w:rFonts w:ascii="Arial" w:hAnsi="Arial" w:hint="default"/>
        <w:b w:val="0"/>
        <w:i w:val="0"/>
        <w:strike w:val="0"/>
        <w:dstrike w:val="0"/>
        <w:sz w:val="32"/>
        <w:vertAlign w:val="baseline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599"/>
    <w:rsid w:val="0009322A"/>
    <w:rsid w:val="001A53FA"/>
    <w:rsid w:val="001A6D47"/>
    <w:rsid w:val="001E7001"/>
    <w:rsid w:val="00216B2D"/>
    <w:rsid w:val="002D34F1"/>
    <w:rsid w:val="004306D2"/>
    <w:rsid w:val="0047291A"/>
    <w:rsid w:val="005109B7"/>
    <w:rsid w:val="005677D3"/>
    <w:rsid w:val="00591604"/>
    <w:rsid w:val="005B1442"/>
    <w:rsid w:val="005B570E"/>
    <w:rsid w:val="00661148"/>
    <w:rsid w:val="00676DFB"/>
    <w:rsid w:val="00681659"/>
    <w:rsid w:val="00706FFA"/>
    <w:rsid w:val="00794730"/>
    <w:rsid w:val="007A2B8E"/>
    <w:rsid w:val="00856B43"/>
    <w:rsid w:val="00876B65"/>
    <w:rsid w:val="00922DE8"/>
    <w:rsid w:val="009736BC"/>
    <w:rsid w:val="009C38CF"/>
    <w:rsid w:val="00BA5C03"/>
    <w:rsid w:val="00BC36A8"/>
    <w:rsid w:val="00C23599"/>
    <w:rsid w:val="00C67AE2"/>
    <w:rsid w:val="00CB5CD8"/>
    <w:rsid w:val="00CD6A5E"/>
    <w:rsid w:val="00CF0A2A"/>
    <w:rsid w:val="00D50667"/>
    <w:rsid w:val="00D54043"/>
    <w:rsid w:val="00D82195"/>
    <w:rsid w:val="00D90DC8"/>
    <w:rsid w:val="00E66273"/>
    <w:rsid w:val="00E671F4"/>
    <w:rsid w:val="00EB0134"/>
    <w:rsid w:val="00F8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72682F"/>
  <w15:chartTrackingRefBased/>
  <w15:docId w15:val="{C5CE0B99-FEAF-4432-8E11-B4F27FEC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0667"/>
    <w:pPr>
      <w:keepNext/>
      <w:keepLines/>
      <w:numPr>
        <w:numId w:val="1"/>
      </w:numPr>
      <w:pBdr>
        <w:top w:val="single" w:sz="8" w:space="1" w:color="auto"/>
      </w:pBdr>
      <w:spacing w:before="240" w:after="240"/>
      <w:outlineLvl w:val="0"/>
    </w:pPr>
    <w:rPr>
      <w:rFonts w:ascii="Arial" w:eastAsiaTheme="majorEastAsia" w:hAnsi="Arial" w:cstheme="majorBidi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D34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D34F1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2D34F1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2D34F1"/>
    <w:rPr>
      <w:rFonts w:ascii="Arial" w:eastAsia="Times New Roman" w:hAnsi="Arial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D34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4F1"/>
  </w:style>
  <w:style w:type="character" w:customStyle="1" w:styleId="Heading1Char">
    <w:name w:val="Heading 1 Char"/>
    <w:basedOn w:val="DefaultParagraphFont"/>
    <w:link w:val="Heading1"/>
    <w:uiPriority w:val="9"/>
    <w:rsid w:val="00D50667"/>
    <w:rPr>
      <w:rFonts w:ascii="Arial" w:eastAsiaTheme="majorEastAsia" w:hAnsi="Arial" w:cstheme="majorBidi"/>
      <w:sz w:val="32"/>
      <w:szCs w:val="32"/>
      <w:lang w:eastAsia="en-US"/>
    </w:rPr>
  </w:style>
  <w:style w:type="paragraph" w:customStyle="1" w:styleId="B2">
    <w:name w:val="B2"/>
    <w:basedOn w:val="List2"/>
    <w:rsid w:val="00D506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50667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0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667"/>
    <w:rPr>
      <w:rFonts w:ascii="Segoe UI" w:hAnsi="Segoe UI" w:cs="Segoe UI"/>
      <w:sz w:val="18"/>
      <w:szCs w:val="18"/>
    </w:rPr>
  </w:style>
  <w:style w:type="paragraph" w:customStyle="1" w:styleId="References">
    <w:name w:val="References"/>
    <w:basedOn w:val="Normal"/>
    <w:rsid w:val="004306D2"/>
    <w:pPr>
      <w:numPr>
        <w:numId w:val="2"/>
      </w:numPr>
      <w:autoSpaceDE w:val="0"/>
      <w:autoSpaceDN w:val="0"/>
      <w:snapToGrid w:val="0"/>
      <w:spacing w:after="60" w:line="240" w:lineRule="auto"/>
      <w:jc w:val="both"/>
    </w:pPr>
    <w:rPr>
      <w:rFonts w:ascii="Times New Roman" w:hAnsi="Times New Roman" w:cs="Times New Roman"/>
      <w:sz w:val="20"/>
      <w:szCs w:val="16"/>
      <w:lang w:val="en-US" w:eastAsia="en-US"/>
    </w:rPr>
  </w:style>
  <w:style w:type="paragraph" w:customStyle="1" w:styleId="B1">
    <w:name w:val="B1"/>
    <w:basedOn w:val="Normal"/>
    <w:link w:val="B1Char1"/>
    <w:rsid w:val="00C67AE2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3">
    <w:name w:val="B3"/>
    <w:basedOn w:val="Normal"/>
    <w:link w:val="B3Char"/>
    <w:rsid w:val="00C67AE2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C67AE2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C67AE2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Chakraborty, Rishikesh, Vodafone Group</dc:creator>
  <cp:keywords/>
  <dc:description/>
  <cp:lastModifiedBy>Chakraborty, Rishikesh, Vodafone Group</cp:lastModifiedBy>
  <cp:revision>2</cp:revision>
  <dcterms:created xsi:type="dcterms:W3CDTF">2019-08-15T14:37:00Z</dcterms:created>
  <dcterms:modified xsi:type="dcterms:W3CDTF">2019-08-15T14:37:00Z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rishikesh.chakraborty@vodafone.com</vt:lpwstr>
  </property>
  <property fmtid="{D5CDD505-2E9C-101B-9397-08002B2CF9AE}" pid="5" name="MSIP_Label_0359f705-2ba0-454b-9cfc-6ce5bcaac040_SetDate">
    <vt:lpwstr>2019-08-07T14:19:08.8079603Z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